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w:t>
        <w:tab/>
        <w:t xml:space="preserve">Terri Wilkinson</w:t>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3, Social Studies</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Thornhill Primary </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24,2025</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Travel in the Pacific Northwest: How First Peoples Moved by Land and Water</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purpose of this lesson is for students to understand how the First Peoples of the Pacific Northwest traveled using canoes, trails and protaging. </w:t>
            </w:r>
            <w:r w:rsidDel="00000000" w:rsidR="00000000" w:rsidRPr="00000000">
              <w:rPr>
                <w:rtl w:val="0"/>
              </w:rPr>
            </w:r>
          </w:p>
        </w:tc>
      </w:tr>
    </w:tbl>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8">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C">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1D">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E">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THINKING – Creative Thinking</w:t>
            </w:r>
          </w:p>
          <w:bookmarkStart w:colFirst="0" w:colLast="0" w:name="bookmark=id.1fob9te" w:id="2"/>
          <w:bookmarkEnd w:id="2"/>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Reflective Thinking</w:t>
            </w:r>
          </w:p>
          <w:bookmarkStart w:colFirst="0" w:colLast="0" w:name="bookmark=id.2et92p0" w:id="4"/>
          <w:bookmarkEnd w:id="4"/>
          <w:p w:rsidR="00000000" w:rsidDel="00000000" w:rsidP="00000000" w:rsidRDefault="00000000" w:rsidRPr="00000000" w14:paraId="00000021">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Personal Awareness and Responsibility</w:t>
            </w:r>
          </w:p>
          <w:bookmarkStart w:colFirst="0" w:colLast="0" w:name="bookmark=id.tyjcwt" w:id="5"/>
          <w:bookmarkEnd w:id="5"/>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Positive Personal and Cultural Identity </w:t>
            </w:r>
          </w:p>
          <w:bookmarkStart w:colFirst="0" w:colLast="0" w:name="bookmark=id.3dy6vkm" w:id="6"/>
          <w:bookmarkEnd w:id="6"/>
          <w:p w:rsidR="00000000" w:rsidDel="00000000" w:rsidP="00000000" w:rsidRDefault="00000000" w:rsidRPr="00000000" w14:paraId="00000023">
            <w:pPr>
              <w:spacing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Social Awareness and Responsibility</w:t>
            </w:r>
          </w:p>
        </w:tc>
        <w:tc>
          <w:tcPr/>
          <w:p w:rsidR="00000000" w:rsidDel="00000000" w:rsidP="00000000" w:rsidRDefault="00000000" w:rsidRPr="00000000" w14:paraId="00000024">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share ideas during discussions and explain their thinking when matching transportation methods to their uses</w:t>
            </w:r>
          </w:p>
          <w:p w:rsidR="00000000" w:rsidDel="00000000" w:rsidP="00000000" w:rsidRDefault="00000000" w:rsidRPr="00000000" w14:paraId="00000025">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analyze how the environment influenced Indigenous travel choices and reflect on which method they would prefer</w:t>
            </w:r>
          </w:p>
          <w:p w:rsidR="00000000" w:rsidDel="00000000" w:rsidP="00000000" w:rsidRDefault="00000000" w:rsidRPr="00000000" w14:paraId="00000026">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build an understanding of Indigenous knowledge and ways of life, fostering respect for First Peoples history and culture</w:t>
            </w:r>
          </w:p>
        </w:tc>
      </w:tr>
    </w:tbl>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2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2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2D">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2E">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holistic, reflexive, reflective, experiential, and relational (focused on connectedness, on reciprocal relationships, and a sense of place). </w:t>
            </w:r>
          </w:p>
          <w:p w:rsidR="00000000" w:rsidDel="00000000" w:rsidP="00000000" w:rsidRDefault="00000000" w:rsidRPr="00000000" w14:paraId="0000002F">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recognizing the consequences of one's actions.</w:t>
            </w:r>
          </w:p>
          <w:p w:rsidR="00000000" w:rsidDel="00000000" w:rsidP="00000000" w:rsidRDefault="00000000" w:rsidRPr="00000000" w14:paraId="00000030">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1">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2">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embedded in memory, history, and story.</w:t>
            </w:r>
          </w:p>
          <w:p w:rsidR="00000000" w:rsidDel="00000000" w:rsidP="00000000" w:rsidRDefault="00000000" w:rsidRPr="00000000" w14:paraId="00000033">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patience and time. </w:t>
            </w:r>
          </w:p>
          <w:p w:rsidR="00000000" w:rsidDel="00000000" w:rsidP="00000000" w:rsidRDefault="00000000" w:rsidRPr="00000000" w14:paraId="00000034">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requires exploration of one's identity.</w:t>
            </w:r>
          </w:p>
          <w:p w:rsidR="00000000" w:rsidDel="00000000" w:rsidP="00000000" w:rsidRDefault="00000000" w:rsidRPr="00000000" w14:paraId="00000035">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6">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engage in discussion, reflection, and hands on learning to understand Indigenous transportation methods</w:t>
            </w:r>
          </w:p>
          <w:p w:rsidR="00000000" w:rsidDel="00000000" w:rsidP="00000000" w:rsidRDefault="00000000" w:rsidRPr="00000000" w14:paraId="00000037">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lesson incorporates storytelling from the Time Immemorial and connections to Ms. Ashleys visit to bring Indigenous knowledge to life</w:t>
            </w:r>
          </w:p>
        </w:tc>
      </w:tr>
    </w:tbl>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3C">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3D">
            <w:pPr>
              <w:ind w:left="284" w:hanging="284"/>
              <w:rPr>
                <w:rFonts w:ascii="Calibri" w:cs="Calibri" w:eastAsia="Calibri" w:hAnsi="Calibri"/>
                <w:color w:val="000000"/>
                <w:sz w:val="22"/>
                <w:szCs w:val="22"/>
              </w:rPr>
            </w:pPr>
            <w:r w:rsidDel="00000000" w:rsidR="00000000" w:rsidRPr="00000000">
              <w:rPr>
                <w:rFonts w:ascii="Verdana" w:cs="Verdana" w:eastAsia="Verdana" w:hAnsi="Verdana"/>
                <w:color w:val="3b3b3b"/>
                <w:shd w:fill="f0f8ff" w:val="clear"/>
                <w:rtl w:val="0"/>
              </w:rPr>
              <w:t xml:space="preserve">Indigenous societies throughout the world value the well-being of the self, the land, spirits, and ancestors.</w:t>
            </w:r>
            <w:r w:rsidDel="00000000" w:rsidR="00000000" w:rsidRPr="00000000">
              <w:rPr>
                <w:rtl w:val="0"/>
              </w:rPr>
            </w:r>
          </w:p>
        </w:tc>
      </w:tr>
    </w:tbl>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2">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Verdana" w:cs="Verdana" w:eastAsia="Verdana" w:hAnsi="Verdana"/>
                  <w:color w:val="0071b3"/>
                  <w:highlight w:val="white"/>
                  <w:u w:val="single"/>
                  <w:rtl w:val="0"/>
                </w:rPr>
                <w:t xml:space="preserve">Explain why people, events, or places are significant to various individuals and groups</w:t>
              </w:r>
            </w:hyperlink>
            <w:r w:rsidDel="00000000" w:rsidR="00000000" w:rsidRPr="00000000">
              <w:rPr>
                <w:rFonts w:ascii="Verdana" w:cs="Verdana" w:eastAsia="Verdana" w:hAnsi="Verdana"/>
                <w:color w:val="3b3b3b"/>
                <w:highlight w:val="white"/>
                <w:rtl w:val="0"/>
              </w:rPr>
              <w:t xml:space="preserve"> (significance)</w:t>
            </w:r>
            <w:r w:rsidDel="00000000" w:rsidR="00000000" w:rsidRPr="00000000">
              <w:rPr>
                <w:rtl w:val="0"/>
              </w:rPr>
            </w:r>
          </w:p>
        </w:tc>
        <w:tc>
          <w:tcPr>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Verdana" w:cs="Verdana" w:eastAsia="Verdana" w:hAnsi="Verdana"/>
                  <w:color w:val="0071b3"/>
                  <w:u w:val="single"/>
                  <w:shd w:fill="f0f8ff" w:val="clear"/>
                  <w:rtl w:val="0"/>
                </w:rPr>
                <w:t xml:space="preserve">oral history, traditional stories, and artifacts as evidence about past First Peoples cultures</w:t>
              </w:r>
            </w:hyperlink>
            <w:r w:rsidDel="00000000" w:rsidR="00000000" w:rsidRPr="00000000">
              <w:rPr>
                <w:rtl w:val="0"/>
              </w:rPr>
            </w:r>
          </w:p>
        </w:tc>
      </w:tr>
    </w:tbl>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5">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4C">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w:t>
            </w:r>
          </w:p>
          <w:p w:rsidR="00000000" w:rsidDel="00000000" w:rsidP="00000000" w:rsidRDefault="00000000" w:rsidRPr="00000000" w14:paraId="0000004E">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observation and discussion</w:t>
            </w:r>
          </w:p>
          <w:p w:rsidR="00000000" w:rsidDel="00000000" w:rsidP="00000000" w:rsidRDefault="00000000" w:rsidRPr="00000000" w14:paraId="0000004F">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answers during questioning</w:t>
            </w:r>
          </w:p>
          <w:p w:rsidR="00000000" w:rsidDel="00000000" w:rsidP="00000000" w:rsidRDefault="00000000" w:rsidRPr="00000000" w14:paraId="00000050">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think-pair-share</w:t>
            </w:r>
          </w:p>
        </w:tc>
      </w:tr>
    </w:tbl>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54">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56">
            <w:pPr>
              <w:numPr>
                <w:ilvl w:val="0"/>
                <w:numId w:val="4"/>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will provide visuals</w:t>
            </w:r>
          </w:p>
          <w:p w:rsidR="00000000" w:rsidDel="00000000" w:rsidP="00000000" w:rsidRDefault="00000000" w:rsidRPr="00000000" w14:paraId="00000057">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examples ready</w:t>
            </w:r>
          </w:p>
          <w:p w:rsidR="00000000" w:rsidDel="00000000" w:rsidP="00000000" w:rsidRDefault="00000000" w:rsidRPr="00000000" w14:paraId="00000058">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peer discussions/support</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59">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5A">
            <w:pPr>
              <w:numPr>
                <w:ilvl w:val="0"/>
                <w:numId w:val="9"/>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Time Immemorial textbook</w:t>
            </w:r>
          </w:p>
          <w:p w:rsidR="00000000" w:rsidDel="00000000" w:rsidP="00000000" w:rsidRDefault="00000000" w:rsidRPr="00000000" w14:paraId="0000005B">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visuals of canoes, trails, and protaging</w:t>
            </w:r>
          </w:p>
        </w:tc>
      </w:tr>
    </w:tbl>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61">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6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63">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we begin, let's think about how we travel today. How do you get to school?” (let students answer) Now imagine living long ago, when there were no cars, buses or bikes, just the land, river and ocean. How do you think the First Peoples got around?”</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show images of canoes and trails</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connect to Ms. Ashley’s visit</w:t>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when Ms. Ashely visited and talked about how the First Peoples used trails and rivers to travel?” (let students answer) “what do you remember about what she said?”</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emphasize travel by water and land, and using well established routes</w:t>
            </w:r>
          </w:p>
        </w:tc>
        <w:tc>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tc>
      </w:tr>
      <w:tr>
        <w:trPr>
          <w:cantSplit w:val="0"/>
          <w:trHeight w:val="6290" w:hRule="atLeast"/>
          <w:tblHeader w:val="0"/>
        </w:trPr>
        <w:tc>
          <w:tcPr>
            <w:shd w:fill="f2f2f2" w:val="clear"/>
          </w:tcPr>
          <w:p w:rsidR="00000000" w:rsidDel="00000000" w:rsidP="00000000" w:rsidRDefault="00000000" w:rsidRPr="00000000" w14:paraId="0000007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Reads Aloud</w:t>
            </w:r>
          </w:p>
          <w:p w:rsidR="00000000" w:rsidDel="00000000" w:rsidP="00000000" w:rsidRDefault="00000000" w:rsidRPr="00000000" w14:paraId="00000076">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read from Time Immemorial, chap 5, first few pages</w:t>
            </w:r>
          </w:p>
          <w:p w:rsidR="00000000" w:rsidDel="00000000" w:rsidP="00000000" w:rsidRDefault="00000000" w:rsidRPr="00000000" w14:paraId="00000077">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pause occasionally to check understanding</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think about how the First Nations traveled. Imagine you are on a journey, you need to choose a way to travel. Let's brain storm opinions.”</w:t>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 2 column on the board water travel / land travel</w:t>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call on students to name ways First Peoples traveled (canoes, walking, portaging, trails)</w:t>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answers in the column</w:t>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Asks questions</w:t>
            </w:r>
          </w:p>
          <w:p w:rsidR="00000000" w:rsidDel="00000000" w:rsidP="00000000" w:rsidRDefault="00000000" w:rsidRPr="00000000" w14:paraId="00000083">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 do you think canoes were the best for long trips?”</w:t>
            </w:r>
          </w:p>
          <w:p w:rsidR="00000000" w:rsidDel="00000000" w:rsidP="00000000" w:rsidRDefault="00000000" w:rsidRPr="00000000" w14:paraId="00000084">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do you think makes trials useful?”</w:t>
            </w:r>
          </w:p>
          <w:p w:rsidR="00000000" w:rsidDel="00000000" w:rsidP="00000000" w:rsidRDefault="00000000" w:rsidRPr="00000000" w14:paraId="00000085">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were some challenges of each way of traveling?”</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look for students making connections (trails helped people trade, canoes were faster than walking…)</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tc>
      </w:tr>
      <w:tr>
        <w:trPr>
          <w:cantSplit w:val="0"/>
          <w:trHeight w:val="2700" w:hRule="atLeast"/>
          <w:tblHeader w:val="0"/>
        </w:trPr>
        <w:tc>
          <w:tcPr>
            <w:shd w:fill="f2f2f2" w:val="clear"/>
          </w:tcPr>
          <w:p w:rsidR="00000000" w:rsidDel="00000000" w:rsidP="00000000" w:rsidRDefault="00000000" w:rsidRPr="00000000" w14:paraId="0000008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w:t>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“great work today and participation in the discussion. As we keep learning in chapter 5 we’ll look deeper into how canoes were made, review the numbers in Sm’algyax, and build our own paper canoes.”</w:t>
            </w:r>
          </w:p>
        </w:tc>
        <w:tc>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this lesson, I introduced chapter 5 by doing a read-aloud of the first part focusing on land and water transportation. The flow of the lesson went well, and the students were engaged in both the reading and discussion. Showing the photos of indigenous canoe-making helped students visualize the process and understand the importance of water travel for First Peoples. After reflecting on the lesson, I realized that incorporating a video of a local Indigenous person making a canoe would further enhance student understanding. Moving forward, I plan to integrate more multimedia resources like videos to support students learning and deepen their engagement. </w:t>
            </w:r>
          </w:p>
        </w:tc>
      </w:tr>
    </w:tbl>
    <w:p w:rsidR="00000000" w:rsidDel="00000000" w:rsidP="00000000" w:rsidRDefault="00000000" w:rsidRPr="00000000" w14:paraId="0000009D">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18" w:type="default"/>
      <w:headerReference r:id="rId19" w:type="first"/>
      <w:headerReference r:id="rId20" w:type="even"/>
      <w:footerReference r:id="rId21" w:type="default"/>
      <w:footerReference r:id="rId22" w:type="first"/>
      <w:footerReference r:id="rId2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curriculum.gov.bc.ca/" TargetMode="External"/><Relationship Id="rId22" Type="http://schemas.openxmlformats.org/officeDocument/2006/relationships/footer" Target="footer3.xml"/><Relationship Id="rId10" Type="http://schemas.openxmlformats.org/officeDocument/2006/relationships/hyperlink" Target="https://www2.gov.bc.ca/assets/gov/education/administration/kindergarten-to-grade-12/indigenous-education/awp_moving_forward.pdf" TargetMode="External"/><Relationship Id="rId21" Type="http://schemas.openxmlformats.org/officeDocument/2006/relationships/footer" Target="footer2.xml"/><Relationship Id="rId13" Type="http://schemas.openxmlformats.org/officeDocument/2006/relationships/hyperlink" Target="https://curriculum.gov.bc.ca/curriculum/social-studies/3/core#" TargetMode="External"/><Relationship Id="rId12" Type="http://schemas.openxmlformats.org/officeDocument/2006/relationships/hyperlink" Target="https://curriculum.gov.bc.ca/"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15" Type="http://schemas.openxmlformats.org/officeDocument/2006/relationships/hyperlink" Target="https://www.dropbox.com/s/g7l0nd7jah1o927/InstructionalDesignMap.pdf?dl=0" TargetMode="External"/><Relationship Id="rId14" Type="http://schemas.openxmlformats.org/officeDocument/2006/relationships/hyperlink" Target="https://curriculum.gov.bc.ca/curriculum/social-studies/3/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lassroom-assessment"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RUpsiHQbY6FhtJl2upKPL6lRGA==">CgMxLjAyCWlkLmdqZGd4czIKaWQuMzBqMHpsbDIKaWQuMWZvYjl0ZTIKaWQuM3pueXNoNzIKaWQuMmV0OTJwMDIJaWQudHlqY3d0MgppZC4zZHk2dmttOAByITExcmpHNWM3UG1hc3ZsSW1uRHBvcjNneTV0ZlljM1NFZg==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2023-11-02T20:58:00Z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