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Financial Literacy</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18, 2025</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and Writing Money Amounts</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purpose of the lesson is to help students recognize and use Canadian currency. Students will practice building different amounts using loonies, toonies, and bills while learning how to properly write money amounts with the dollar sign and decimal point.</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4">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discuss different ways to make a given amount using bills and loonie and toonies.</w:t>
            </w:r>
          </w:p>
          <w:p w:rsidR="00000000" w:rsidDel="00000000" w:rsidP="00000000" w:rsidRDefault="00000000" w:rsidRPr="00000000" w14:paraId="00000025">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explore different ways to make the same amount using various bill combinations</w:t>
            </w:r>
          </w:p>
          <w:p w:rsidR="00000000" w:rsidDel="00000000" w:rsidP="00000000" w:rsidRDefault="00000000" w:rsidRPr="00000000" w14:paraId="00000026">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determine the most efficient way to count and represent amounts</w:t>
            </w:r>
          </w:p>
          <w:p w:rsidR="00000000" w:rsidDel="00000000" w:rsidP="00000000" w:rsidRDefault="00000000" w:rsidRPr="00000000" w14:paraId="0000002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take responsibility for organizing their materials and following instructions</w:t>
            </w:r>
          </w:p>
        </w:tc>
      </w:tr>
    </w:tbl>
    <w:p w:rsidR="00000000" w:rsidDel="00000000" w:rsidP="00000000" w:rsidRDefault="00000000" w:rsidRPr="00000000" w14:paraId="0000002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C">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2D">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2E">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2F">
            <w:pPr>
              <w:ind w:left="284" w:hanging="284"/>
              <w:rPr>
                <w:rFonts w:ascii="Calibri" w:cs="Calibri" w:eastAsia="Calibri" w:hAnsi="Calibri"/>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0">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recognizing the consequences of one's actions.</w:t>
            </w:r>
          </w:p>
          <w:p w:rsidR="00000000" w:rsidDel="00000000" w:rsidP="00000000" w:rsidRDefault="00000000" w:rsidRPr="00000000" w14:paraId="00000031">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2">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embedded in memory, history, and story.</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patience and time. </w:t>
            </w:r>
          </w:p>
          <w:p w:rsidR="00000000" w:rsidDel="00000000" w:rsidP="00000000" w:rsidRDefault="00000000" w:rsidRPr="00000000" w14:paraId="00000035">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requires exploration of one's identity.</w:t>
            </w:r>
          </w:p>
          <w:p w:rsidR="00000000" w:rsidDel="00000000" w:rsidP="00000000" w:rsidRDefault="00000000" w:rsidRPr="00000000" w14:paraId="00000036">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7">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engage in hands on learning by manipulating fake money and physically building amounts</w:t>
            </w:r>
          </w:p>
          <w:p w:rsidR="00000000" w:rsidDel="00000000" w:rsidP="00000000" w:rsidRDefault="00000000" w:rsidRPr="00000000" w14:paraId="00000038">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money and how to count it correctly builds financial literacy in real life situations</w:t>
            </w:r>
          </w:p>
          <w:p w:rsidR="00000000" w:rsidDel="00000000" w:rsidP="00000000" w:rsidRDefault="00000000" w:rsidRPr="00000000" w14:paraId="00000039">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money is an important part of daily life, and learning about it helps students with independence and responsibility </w:t>
            </w:r>
          </w:p>
        </w:tc>
      </w:tr>
    </w:tbl>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3F">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Development of computational </w:t>
            </w:r>
            <w:hyperlink r:id="rId12">
              <w:r w:rsidDel="00000000" w:rsidR="00000000" w:rsidRPr="00000000">
                <w:rPr>
                  <w:rFonts w:ascii="Verdana" w:cs="Verdana" w:eastAsia="Verdana" w:hAnsi="Verdana"/>
                  <w:color w:val="0071b3"/>
                  <w:u w:val="single"/>
                  <w:shd w:fill="f0f8ff" w:val="clear"/>
                  <w:rtl w:val="0"/>
                </w:rPr>
                <w:t xml:space="preserve">fluency</w:t>
              </w:r>
            </w:hyperlink>
            <w:r w:rsidDel="00000000" w:rsidR="00000000" w:rsidRPr="00000000">
              <w:rPr>
                <w:rFonts w:ascii="Verdana" w:cs="Verdana" w:eastAsia="Verdana" w:hAnsi="Verdana"/>
                <w:color w:val="3b3b3b"/>
                <w:shd w:fill="f0f8ff" w:val="clear"/>
                <w:rtl w:val="0"/>
              </w:rPr>
              <w:t xml:space="preserve"> in addition, subtraction, multiplication, and division of whole numbers requires flexible decomposing and composing.</w:t>
            </w:r>
            <w:r w:rsidDel="00000000" w:rsidR="00000000" w:rsidRPr="00000000">
              <w:rPr>
                <w:rtl w:val="0"/>
              </w:rPr>
            </w:r>
          </w:p>
        </w:tc>
      </w:tr>
    </w:tbl>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3">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Use reasoning to explore and make connections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Develop and use </w:t>
            </w:r>
            <w:hyperlink r:id="rId14">
              <w:r w:rsidDel="00000000" w:rsidR="00000000" w:rsidRPr="00000000">
                <w:rPr>
                  <w:rFonts w:ascii="Verdana" w:cs="Verdana" w:eastAsia="Verdana" w:hAnsi="Verdana"/>
                  <w:color w:val="0071b3"/>
                  <w:highlight w:val="white"/>
                  <w:u w:val="single"/>
                  <w:rtl w:val="0"/>
                </w:rPr>
                <w:t xml:space="preserve">multiple strategies</w:t>
              </w:r>
            </w:hyperlink>
            <w:r w:rsidDel="00000000" w:rsidR="00000000" w:rsidRPr="00000000">
              <w:rPr>
                <w:rFonts w:ascii="Verdana" w:cs="Verdana" w:eastAsia="Verdana" w:hAnsi="Verdana"/>
                <w:color w:val="3b3b3b"/>
                <w:highlight w:val="white"/>
                <w:rtl w:val="0"/>
              </w:rPr>
              <w:t xml:space="preserve"> to engage in problem solving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Use mathematical vocabulary and language to contribute to mathematical discussions</w:t>
            </w:r>
            <w:r w:rsidDel="00000000" w:rsidR="00000000" w:rsidRPr="00000000">
              <w:rPr>
                <w:rtl w:val="0"/>
              </w:rPr>
            </w:r>
          </w:p>
        </w:tc>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Verdana" w:cs="Verdana" w:eastAsia="Verdana" w:hAnsi="Verdana"/>
                  <w:color w:val="0071b3"/>
                  <w:u w:val="single"/>
                  <w:shd w:fill="f0f8ff" w:val="clear"/>
                  <w:rtl w:val="0"/>
                </w:rPr>
                <w:t xml:space="preserve">financial literacy</w:t>
              </w:r>
            </w:hyperlink>
            <w:r w:rsidDel="00000000" w:rsidR="00000000" w:rsidRPr="00000000">
              <w:rPr>
                <w:rFonts w:ascii="Verdana" w:cs="Verdana" w:eastAsia="Verdana" w:hAnsi="Verdana"/>
                <w:color w:val="3b3b3b"/>
                <w:shd w:fill="f0f8ff" w:val="clear"/>
                <w:rtl w:val="0"/>
              </w:rPr>
              <w:t xml:space="preserve"> — fluency with coins and bills to 100 dollars, and earning and payment</w:t>
            </w:r>
            <w:r w:rsidDel="00000000" w:rsidR="00000000" w:rsidRPr="00000000">
              <w:rPr>
                <w:rtl w:val="0"/>
              </w:rPr>
            </w:r>
          </w:p>
        </w:tc>
      </w:tr>
    </w:tbl>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6">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7">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2">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Assessments</w:t>
            </w:r>
          </w:p>
          <w:p w:rsidR="00000000" w:rsidDel="00000000" w:rsidP="00000000" w:rsidRDefault="00000000" w:rsidRPr="00000000" w14:paraId="00000054">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observing students counting their money</w:t>
            </w:r>
          </w:p>
          <w:p w:rsidR="00000000" w:rsidDel="00000000" w:rsidP="00000000" w:rsidRDefault="00000000" w:rsidRPr="00000000" w14:paraId="00000055">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listening to students explain their thinking</w:t>
            </w:r>
          </w:p>
          <w:p w:rsidR="00000000" w:rsidDel="00000000" w:rsidP="00000000" w:rsidRDefault="00000000" w:rsidRPr="00000000" w14:paraId="00000056">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answers during question and discussion time</w:t>
            </w:r>
          </w:p>
          <w:p w:rsidR="00000000" w:rsidDel="00000000" w:rsidP="00000000" w:rsidRDefault="00000000" w:rsidRPr="00000000" w14:paraId="00000057">
            <w:pPr>
              <w:numPr>
                <w:ilvl w:val="0"/>
                <w:numId w:val="1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written worksheet</w:t>
            </w:r>
          </w:p>
        </w:tc>
      </w:tr>
    </w:tbl>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5D">
            <w:pPr>
              <w:numPr>
                <w:ilvl w:val="0"/>
                <w:numId w:val="15"/>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have visuals available </w:t>
            </w:r>
          </w:p>
          <w:p w:rsidR="00000000" w:rsidDel="00000000" w:rsidP="00000000" w:rsidRDefault="00000000" w:rsidRPr="00000000" w14:paraId="0000005E">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 the hands on manipulatives (fake money)</w:t>
            </w:r>
          </w:p>
          <w:p w:rsidR="00000000" w:rsidDel="00000000" w:rsidP="00000000" w:rsidRDefault="00000000" w:rsidRPr="00000000" w14:paraId="0000005F">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display the written format of the money amounts</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61">
            <w:pPr>
              <w:numPr>
                <w:ilvl w:val="0"/>
                <w:numId w:val="16"/>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fake money manipulatives</w:t>
            </w:r>
          </w:p>
          <w:p w:rsidR="00000000" w:rsidDel="00000000" w:rsidP="00000000" w:rsidRDefault="00000000" w:rsidRPr="00000000" w14:paraId="00000062">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document camera</w:t>
            </w:r>
          </w:p>
          <w:p w:rsidR="00000000" w:rsidDel="00000000" w:rsidP="00000000" w:rsidRDefault="00000000" w:rsidRPr="00000000" w14:paraId="00000063">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pre-written amounts</w:t>
            </w:r>
          </w:p>
          <w:p w:rsidR="00000000" w:rsidDel="00000000" w:rsidP="00000000" w:rsidRDefault="00000000" w:rsidRPr="00000000" w14:paraId="00000064">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worksheets</w:t>
            </w:r>
          </w:p>
          <w:p w:rsidR="00000000" w:rsidDel="00000000" w:rsidP="00000000" w:rsidRDefault="00000000" w:rsidRPr="00000000" w14:paraId="00000065">
            <w:pPr>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pencils</w:t>
            </w:r>
          </w:p>
        </w:tc>
      </w:tr>
    </w:tbl>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6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6B">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6D">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 The dollar symbol and writing amounts</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far, we’ve explored Canadian money and built different amounts. Today, we’ll learn how ro write money correctly.”</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these amounts on the board</w:t>
            </w:r>
          </w:p>
          <w:p w:rsidR="00000000" w:rsidDel="00000000" w:rsidP="00000000" w:rsidRDefault="00000000" w:rsidRPr="00000000" w14:paraId="00000075">
            <w:pPr>
              <w:numPr>
                <w:ilvl w:val="0"/>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13</w:t>
            </w:r>
          </w:p>
          <w:p w:rsidR="00000000" w:rsidDel="00000000" w:rsidP="00000000" w:rsidRDefault="00000000" w:rsidRPr="00000000" w14:paraId="00000076">
            <w:pPr>
              <w:numPr>
                <w:ilvl w:val="0"/>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$13</w:t>
            </w:r>
          </w:p>
          <w:p w:rsidR="00000000" w:rsidDel="00000000" w:rsidP="00000000" w:rsidRDefault="00000000" w:rsidRPr="00000000" w14:paraId="00000077">
            <w:pPr>
              <w:numPr>
                <w:ilvl w:val="0"/>
                <w:numId w:val="6"/>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$13.00</w:t>
            </w:r>
          </w:p>
          <w:p w:rsidR="00000000" w:rsidDel="00000000" w:rsidP="00000000" w:rsidRDefault="00000000" w:rsidRPr="00000000" w14:paraId="00000078">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  “What do you notice about these numbers?” “What does the $ tell us?” “WHy do we put a decimal?”</w:t>
            </w:r>
          </w:p>
          <w:p w:rsidR="00000000" w:rsidDel="00000000" w:rsidP="00000000" w:rsidRDefault="00000000" w:rsidRPr="00000000" w14:paraId="00000079">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w:t>
            </w:r>
          </w:p>
          <w:p w:rsidR="00000000" w:rsidDel="00000000" w:rsidP="00000000" w:rsidRDefault="00000000" w:rsidRPr="00000000" w14:paraId="0000007A">
            <w:pPr>
              <w:numPr>
                <w:ilvl w:val="0"/>
                <w:numId w:val="1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 tell us we are dealing with an amount of money, and always before the number.”</w:t>
            </w:r>
          </w:p>
          <w:p w:rsidR="00000000" w:rsidDel="00000000" w:rsidP="00000000" w:rsidRDefault="00000000" w:rsidRPr="00000000" w14:paraId="0000007B">
            <w:pPr>
              <w:numPr>
                <w:ilvl w:val="0"/>
                <w:numId w:val="1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decimal point separates dollars from cents. Since we’re only working with whole dollars today, we’ll write two series after the decimal point.”</w:t>
            </w:r>
          </w:p>
          <w:p w:rsidR="00000000" w:rsidDel="00000000" w:rsidP="00000000" w:rsidRDefault="00000000" w:rsidRPr="00000000" w14:paraId="0000007C">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w:t>
            </w:r>
          </w:p>
          <w:p w:rsidR="00000000" w:rsidDel="00000000" w:rsidP="00000000" w:rsidRDefault="00000000" w:rsidRPr="00000000" w14:paraId="0000007D">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$25 and $25.00 on the board</w:t>
            </w:r>
          </w:p>
          <w:p w:rsidR="00000000" w:rsidDel="00000000" w:rsidP="00000000" w:rsidRDefault="00000000" w:rsidRPr="00000000" w14:paraId="0000007E">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ask - “do these mean the same thing?” (yes $25 is a shorter way to write $25.00 but remember we are still writing 00 because eventually we will be working with cents.)</w:t>
            </w:r>
          </w:p>
          <w:p w:rsidR="00000000" w:rsidDel="00000000" w:rsidP="00000000" w:rsidRDefault="00000000" w:rsidRPr="00000000" w14:paraId="0000007F">
            <w:pPr>
              <w:numPr>
                <w:ilvl w:val="0"/>
                <w:numId w:val="1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students read aloud “twenty five dollars.”</w:t>
            </w:r>
          </w:p>
        </w:tc>
        <w:tc>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min</w:t>
            </w:r>
          </w:p>
        </w:tc>
      </w:tr>
      <w:tr>
        <w:trPr>
          <w:cantSplit w:val="0"/>
          <w:trHeight w:val="6290" w:hRule="atLeast"/>
          <w:tblHeader w:val="0"/>
        </w:trPr>
        <w:tc>
          <w:tcPr>
            <w:shd w:fill="f2f2f2" w:val="clear"/>
          </w:tcPr>
          <w:p w:rsidR="00000000" w:rsidDel="00000000" w:rsidP="00000000" w:rsidRDefault="00000000" w:rsidRPr="00000000" w14:paraId="000000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and writing money amounts</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we’re going to build money amounts using our fake money, and then write them down correctly.”</w:t>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Instructions</w:t>
            </w:r>
          </w:p>
          <w:p w:rsidR="00000000" w:rsidDel="00000000" w:rsidP="00000000" w:rsidRDefault="00000000" w:rsidRPr="00000000" w14:paraId="0000008C">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each students gets a set of fake money</w:t>
            </w:r>
          </w:p>
          <w:p w:rsidR="00000000" w:rsidDel="00000000" w:rsidP="00000000" w:rsidRDefault="00000000" w:rsidRPr="00000000" w14:paraId="0000008D">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an amount on the board ($32)</w:t>
            </w:r>
          </w:p>
          <w:p w:rsidR="00000000" w:rsidDel="00000000" w:rsidP="00000000" w:rsidRDefault="00000000" w:rsidRPr="00000000" w14:paraId="0000008E">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w:t>
            </w:r>
          </w:p>
          <w:p w:rsidR="00000000" w:rsidDel="00000000" w:rsidP="00000000" w:rsidRDefault="00000000" w:rsidRPr="00000000" w14:paraId="0000008F">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build $32 using their fake money</w:t>
            </w:r>
          </w:p>
          <w:p w:rsidR="00000000" w:rsidDel="00000000" w:rsidP="00000000" w:rsidRDefault="00000000" w:rsidRPr="00000000" w14:paraId="00000090">
            <w:pPr>
              <w:numPr>
                <w:ilvl w:val="0"/>
                <w:numId w:val="13"/>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write the amount correctly on their worksheet</w:t>
            </w:r>
          </w:p>
          <w:p w:rsidR="00000000" w:rsidDel="00000000" w:rsidP="00000000" w:rsidRDefault="00000000" w:rsidRPr="00000000" w14:paraId="00000091">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repeat with new amounts</w:t>
            </w:r>
          </w:p>
          <w:p w:rsidR="00000000" w:rsidDel="00000000" w:rsidP="00000000" w:rsidRDefault="00000000" w:rsidRPr="00000000" w14:paraId="00000092">
            <w:pPr>
              <w:numPr>
                <w:ilvl w:val="0"/>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$47</w:t>
            </w:r>
          </w:p>
          <w:p w:rsidR="00000000" w:rsidDel="00000000" w:rsidP="00000000" w:rsidRDefault="00000000" w:rsidRPr="00000000" w14:paraId="00000093">
            <w:pPr>
              <w:numPr>
                <w:ilvl w:val="0"/>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$65</w:t>
            </w:r>
          </w:p>
          <w:p w:rsidR="00000000" w:rsidDel="00000000" w:rsidP="00000000" w:rsidRDefault="00000000" w:rsidRPr="00000000" w14:paraId="00000094">
            <w:pPr>
              <w:numPr>
                <w:ilvl w:val="0"/>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$83</w:t>
            </w:r>
          </w:p>
          <w:p w:rsidR="00000000" w:rsidDel="00000000" w:rsidP="00000000" w:rsidRDefault="00000000" w:rsidRPr="00000000" w14:paraId="00000095">
            <w:pPr>
              <w:numPr>
                <w:ilvl w:val="0"/>
                <w:numId w:val="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$135</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Observations</w:t>
            </w:r>
          </w:p>
          <w:p w:rsidR="00000000" w:rsidDel="00000000" w:rsidP="00000000" w:rsidRDefault="00000000" w:rsidRPr="00000000" w14:paraId="0000009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walk around to check if students are</w:t>
            </w:r>
          </w:p>
          <w:p w:rsidR="00000000" w:rsidDel="00000000" w:rsidP="00000000" w:rsidRDefault="00000000" w:rsidRPr="00000000" w14:paraId="0000009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using the correct bills</w:t>
            </w:r>
          </w:p>
          <w:p w:rsidR="00000000" w:rsidDel="00000000" w:rsidP="00000000" w:rsidRDefault="00000000" w:rsidRPr="00000000" w14:paraId="0000009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writing the $ before the number</w:t>
            </w:r>
          </w:p>
          <w:p w:rsidR="00000000" w:rsidDel="00000000" w:rsidP="00000000" w:rsidRDefault="00000000" w:rsidRPr="00000000" w14:paraId="0000009B">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placing the decimal point correctly</w:t>
            </w:r>
          </w:p>
          <w:p w:rsidR="00000000" w:rsidDel="00000000" w:rsidP="00000000" w:rsidRDefault="00000000" w:rsidRPr="00000000" w14:paraId="0000009C">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students have completed all amounts they are to clean up, put materials away and finish the word search.</w:t>
            </w:r>
          </w:p>
          <w:p w:rsidR="00000000" w:rsidDel="00000000" w:rsidP="00000000" w:rsidRDefault="00000000" w:rsidRPr="00000000" w14:paraId="0000009E">
            <w:pPr>
              <w:ind w:left="72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r>
      <w:tr>
        <w:trPr>
          <w:cantSplit w:val="0"/>
          <w:trHeight w:val="2700" w:hRule="atLeast"/>
          <w:tblHeader w:val="0"/>
        </w:trPr>
        <w:tc>
          <w:tcPr>
            <w:shd w:fill="f2f2f2" w:val="clear"/>
          </w:tcPr>
          <w:p w:rsidR="00000000" w:rsidDel="00000000" w:rsidP="00000000" w:rsidRDefault="00000000" w:rsidRPr="00000000" w14:paraId="000000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 up</w:t>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“Great job today. We practiced building money amounts and writing them correctly. Next time, we’ll continue practicing writing our amounts, counting and getting ready to move towards a classroom store.”</w:t>
            </w:r>
          </w:p>
        </w:tc>
        <w:tc>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min</w:t>
            </w:r>
          </w:p>
        </w:tc>
      </w:tr>
    </w:tbl>
    <w:p w:rsidR="00000000" w:rsidDel="00000000" w:rsidP="00000000" w:rsidRDefault="00000000" w:rsidRPr="00000000" w14:paraId="000000A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AD">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Overall, the lesson went well and the students were engaged throughout the activity. Upon reflection and talking with my CT, one key area for improvement would be to incorporate more intentional pauses during the lesson to ask guiding questions and check for understanding. While I provided clear instructions, pausing more frequently could have helped identify students who may have been confused or unsure about the steps. </w:t>
            </w:r>
          </w:p>
        </w:tc>
      </w:tr>
    </w:tbl>
    <w:p w:rsidR="00000000" w:rsidDel="00000000" w:rsidP="00000000" w:rsidRDefault="00000000" w:rsidRPr="00000000" w14:paraId="000000B5">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curriculum.gov.bc.ca/" TargetMode="External"/><Relationship Id="rId22" Type="http://schemas.openxmlformats.org/officeDocument/2006/relationships/footer" Target="footer2.xml"/><Relationship Id="rId10" Type="http://schemas.openxmlformats.org/officeDocument/2006/relationships/hyperlink" Target="https://www2.gov.bc.ca/assets/gov/education/administration/kindergarten-to-grade-12/indigenous-education/awp_moving_forward.pdf" TargetMode="External"/><Relationship Id="rId21" Type="http://schemas.openxmlformats.org/officeDocument/2006/relationships/header" Target="header1.xml"/><Relationship Id="rId13" Type="http://schemas.openxmlformats.org/officeDocument/2006/relationships/hyperlink" Target="https://curriculum.gov.bc.ca/" TargetMode="External"/><Relationship Id="rId24" Type="http://schemas.openxmlformats.org/officeDocument/2006/relationships/footer" Target="footer1.xml"/><Relationship Id="rId12" Type="http://schemas.openxmlformats.org/officeDocument/2006/relationships/hyperlink" Target="https://curriculum.gov.bc.ca/curriculum/mathematics/3/core#"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15" Type="http://schemas.openxmlformats.org/officeDocument/2006/relationships/hyperlink" Target="https://curriculum.gov.bc.ca/curriculum/mathematics/3/core#" TargetMode="External"/><Relationship Id="rId14" Type="http://schemas.openxmlformats.org/officeDocument/2006/relationships/hyperlink" Target="https://curriculum.gov.bc.ca/curriculum/mathematics/3/core#" TargetMode="External"/><Relationship Id="rId17" Type="http://schemas.openxmlformats.org/officeDocument/2006/relationships/hyperlink" Target="https://curriculum.gov.bc.ca/classroom-assessment" TargetMode="External"/><Relationship Id="rId16" Type="http://schemas.openxmlformats.org/officeDocument/2006/relationships/hyperlink" Target="https://www.dropbox.com/s/g7l0nd7jah1o927/InstructionalDesignMap.pdf?dl=0"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s://www.dropbox.com/s/g7l0nd7jah1o927/InstructionalDesignMap.pdf?dl=0" TargetMode="Externa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aWLpZ5PjsALmW5WmhJRjMyiMQ==">CgMxLjAyCWlkLmdqZGd4czIKaWQuMzBqMHpsbDIKaWQuMWZvYjl0ZTIKaWQuM3pueXNoNzIKaWQuMmV0OTJwMDIJaWQudHlqY3d0MgppZC4zZHk2dmttOAByITExRV9XVlI4dmxYQzBSVnp6cjZINnRaVlU5VC1FTTk2Uw==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