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Reflective Journal #2</w:t>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EDUC 351 - Curriculum and instruction : Second Language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Tina McDonald</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Nov 1, 2024</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spacing w:line="480" w:lineRule="auto"/>
        <w:jc w:val="center"/>
        <w:rPr>
          <w:sz w:val="24"/>
          <w:szCs w:val="24"/>
        </w:rPr>
      </w:pPr>
      <w:r w:rsidDel="00000000" w:rsidR="00000000" w:rsidRPr="00000000">
        <w:rPr>
          <w:b w:val="1"/>
          <w:sz w:val="24"/>
          <w:szCs w:val="24"/>
          <w:rtl w:val="0"/>
        </w:rPr>
        <w:t xml:space="preserve">Reflective Journal #2</w:t>
      </w:r>
      <w:r w:rsidDel="00000000" w:rsidR="00000000" w:rsidRPr="00000000">
        <w:rPr>
          <w:sz w:val="24"/>
          <w:szCs w:val="24"/>
          <w:rtl w:val="0"/>
        </w:rPr>
        <w:tab/>
        <w:t xml:space="preserve"> </w:t>
      </w:r>
    </w:p>
    <w:p w:rsidR="00000000" w:rsidDel="00000000" w:rsidP="00000000" w:rsidRDefault="00000000" w:rsidRPr="00000000" w14:paraId="00000025">
      <w:pPr>
        <w:spacing w:line="480" w:lineRule="auto"/>
        <w:ind w:firstLine="720"/>
        <w:rPr>
          <w:sz w:val="24"/>
          <w:szCs w:val="24"/>
        </w:rPr>
      </w:pPr>
      <w:r w:rsidDel="00000000" w:rsidR="00000000" w:rsidRPr="00000000">
        <w:rPr>
          <w:sz w:val="24"/>
          <w:szCs w:val="24"/>
          <w:rtl w:val="0"/>
        </w:rPr>
        <w:t xml:space="preserve">Taking this course, Second Language curriculum, has been an enriching and rewarding experience. I really enjoyed it Tina, So thank you. One of the key highlights for me was practicing lesson planning, like my body parts in a french lesson plan. I appreciate the extra practice as we are heading into our next round of practicum placement, where we have to do 4 formal lesson plans on the UNBC template. I have not looked into the curriculum much for second languages, so having to break down the content for the lesson plans was very beneficial for me. I also enjoyed being able to practice implementing our lessons to our classmates. As I mentioned I did do this lesson in my first practicum, by this time I had time to reflect on what went well and what needed change. So when it came to present again I was grateful to try what I thought I would change. It's also very helpful to get feedback from both you and my classmates.</w:t>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ab/>
        <w:t xml:space="preserve">Reading the article “Beyond a Bridge to Understanding: The Benefits of Second Language Learning” had some great points as well. The article highlighted the cognitive, cultural and social benefits of learning a second language, which deepened my commitment to ensuring that my future students have meaningful and enriching language learning experiences. I plan to do more than just duolingo, and hope to create some fun for my students. Understanding and discussing how language fosters cultural awareness and empathy helps me realize the importance of integrating culturally responsive teaching practices into the curriculum. I would say I now see it as a tool for communication and a means of promoting cultural understanding. </w:t>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ab/>
        <w:t xml:space="preserve">Lastly, the activities, demonstrations and strategies that were provided to us will be very beneficial in my future classroom. The demos were incredibly valuable, as they gave us some hands-on learning experiences and concrete examples of how to make language learning both fun and effective. From interactive games to creative projects, I learned a wide range of techniques that I can adapt to suit different classroom settings. I hope that all my classmates will share their activities in our group chat. </w:t>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ab/>
        <w:t xml:space="preserve">Overall, this course has been highly beneficial in preparing me to teach second languages. I now feel more prepared and less nervous about implementing the curriculum when I become a teacher. The combination of practical experiences, knowledge, and exposure to effective teaching strategies have given me a solid foundation to build upon. I am so grateful, because I always felt like I lost the French I had but am motivated to keep practicing, not only for my trip but for my teaching as well. I look forward to continuing my journey as an educator and am confident that I will be able to create positive and meaningful language learning experiences for my future students.</w:t>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