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CB28C32" wp14:paraId="1DDB7BC2" wp14:textId="0BFE7D22">
      <w:pPr>
        <w:pStyle w:val="Normal"/>
        <w:jc w:val="center"/>
        <w:rPr>
          <w:b w:val="1"/>
          <w:bCs w:val="1"/>
          <w:sz w:val="24"/>
          <w:szCs w:val="24"/>
        </w:rPr>
      </w:pPr>
    </w:p>
    <w:p xmlns:wp14="http://schemas.microsoft.com/office/word/2010/wordml" w:rsidP="5CB28C32" wp14:paraId="5F8C7B4A" wp14:textId="6F5E797C">
      <w:pPr>
        <w:pStyle w:val="Normal"/>
        <w:jc w:val="center"/>
        <w:rPr>
          <w:b w:val="1"/>
          <w:bCs w:val="1"/>
          <w:sz w:val="24"/>
          <w:szCs w:val="24"/>
        </w:rPr>
      </w:pPr>
    </w:p>
    <w:p xmlns:wp14="http://schemas.microsoft.com/office/word/2010/wordml" w:rsidP="5CB28C32" wp14:paraId="5F5A01D1" wp14:textId="2D77DDC4">
      <w:pPr>
        <w:pStyle w:val="Normal"/>
        <w:jc w:val="center"/>
        <w:rPr>
          <w:b w:val="1"/>
          <w:bCs w:val="1"/>
          <w:sz w:val="24"/>
          <w:szCs w:val="24"/>
        </w:rPr>
      </w:pPr>
    </w:p>
    <w:p xmlns:wp14="http://schemas.microsoft.com/office/word/2010/wordml" w:rsidP="5CB28C32" wp14:paraId="233DE26F" wp14:textId="1700255E">
      <w:pPr>
        <w:pStyle w:val="Normal"/>
        <w:jc w:val="center"/>
        <w:rPr>
          <w:b w:val="1"/>
          <w:bCs w:val="1"/>
          <w:sz w:val="24"/>
          <w:szCs w:val="24"/>
        </w:rPr>
      </w:pPr>
    </w:p>
    <w:p xmlns:wp14="http://schemas.microsoft.com/office/word/2010/wordml" w:rsidP="5CB28C32" wp14:paraId="3D40AF49" wp14:textId="1D7FC472">
      <w:pPr>
        <w:pStyle w:val="Normal"/>
        <w:jc w:val="center"/>
        <w:rPr>
          <w:b w:val="1"/>
          <w:bCs w:val="1"/>
          <w:sz w:val="24"/>
          <w:szCs w:val="24"/>
        </w:rPr>
      </w:pPr>
    </w:p>
    <w:p xmlns:wp14="http://schemas.microsoft.com/office/word/2010/wordml" w:rsidP="5CB28C32" wp14:paraId="56A378AE" wp14:textId="599EE939">
      <w:pPr>
        <w:pStyle w:val="Normal"/>
        <w:jc w:val="center"/>
        <w:rPr>
          <w:b w:val="1"/>
          <w:bCs w:val="1"/>
          <w:sz w:val="24"/>
          <w:szCs w:val="24"/>
        </w:rPr>
      </w:pPr>
    </w:p>
    <w:p xmlns:wp14="http://schemas.microsoft.com/office/word/2010/wordml" w:rsidP="5CB28C32" wp14:paraId="0637316B" wp14:textId="41D0672A">
      <w:pPr>
        <w:pStyle w:val="Normal"/>
        <w:jc w:val="center"/>
        <w:rPr>
          <w:b w:val="1"/>
          <w:bCs w:val="1"/>
          <w:sz w:val="24"/>
          <w:szCs w:val="24"/>
        </w:rPr>
      </w:pPr>
      <w:r w:rsidRPr="5CB28C32" w:rsidR="5CB28C32">
        <w:rPr>
          <w:b w:val="1"/>
          <w:bCs w:val="1"/>
          <w:sz w:val="24"/>
          <w:szCs w:val="24"/>
        </w:rPr>
        <w:t>Simile</w:t>
      </w:r>
      <w:r w:rsidRPr="5CB28C32" w:rsidR="5CB28C32">
        <w:rPr>
          <w:b w:val="1"/>
          <w:bCs w:val="1"/>
          <w:sz w:val="24"/>
          <w:szCs w:val="24"/>
        </w:rPr>
        <w:t xml:space="preserve"> or Metaphor About Teaching</w:t>
      </w:r>
    </w:p>
    <w:p xmlns:wp14="http://schemas.microsoft.com/office/word/2010/wordml" w:rsidP="5CB28C32" wp14:paraId="4FDEF131" wp14:textId="62FA382B">
      <w:pPr>
        <w:pStyle w:val="Normal"/>
        <w:jc w:val="center"/>
        <w:rPr>
          <w:b w:val="1"/>
          <w:bCs w:val="1"/>
          <w:sz w:val="24"/>
          <w:szCs w:val="24"/>
        </w:rPr>
      </w:pPr>
    </w:p>
    <w:p xmlns:wp14="http://schemas.microsoft.com/office/word/2010/wordml" w:rsidP="5CB28C32" wp14:paraId="65058E24" wp14:textId="3DC55349">
      <w:pPr>
        <w:pStyle w:val="Normal"/>
        <w:jc w:val="center"/>
        <w:rPr>
          <w:b w:val="1"/>
          <w:bCs w:val="1"/>
          <w:sz w:val="24"/>
          <w:szCs w:val="24"/>
        </w:rPr>
      </w:pPr>
    </w:p>
    <w:p xmlns:wp14="http://schemas.microsoft.com/office/word/2010/wordml" w:rsidP="5CB28C32" wp14:paraId="629B7CBC" wp14:textId="3C47E82D">
      <w:pPr>
        <w:spacing w:after="160" w:line="48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28C32" w:rsidR="5CB28C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Terri Wilkinson</w:t>
      </w:r>
    </w:p>
    <w:p xmlns:wp14="http://schemas.microsoft.com/office/word/2010/wordml" w:rsidP="5CB28C32" wp14:paraId="6E925873" wp14:textId="1D87363F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center"/>
      </w:pPr>
      <w:r w:rsidRPr="5CB28C32" w:rsidR="5CB28C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University </w:t>
      </w:r>
      <w:r w:rsidRPr="5CB28C32" w:rsidR="5CB28C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Northern</w:t>
      </w:r>
      <w:r w:rsidRPr="5CB28C32" w:rsidR="5CB28C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British Columbia</w:t>
      </w:r>
    </w:p>
    <w:p xmlns:wp14="http://schemas.microsoft.com/office/word/2010/wordml" w:rsidP="5CB28C32" wp14:paraId="4EF9EA4E" wp14:textId="6612F365">
      <w:pPr>
        <w:pStyle w:val="Heading1"/>
        <w:shd w:val="clear" w:color="auto" w:fill="FFFFFF" w:themeFill="background1"/>
        <w:spacing w:before="0" w:beforeAutospacing="off" w:after="120" w:afterAutospacing="off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5CB28C32" w:rsidR="5CB28C3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Pedagogy, Curriculum and Teaching - Theory in Context EDUC-394</w:t>
      </w:r>
    </w:p>
    <w:p xmlns:wp14="http://schemas.microsoft.com/office/word/2010/wordml" w:rsidP="5CB28C32" wp14:paraId="5DDABC13" wp14:textId="47B03FD5">
      <w:pPr>
        <w:pStyle w:val="Normal"/>
        <w:spacing w:after="160" w:line="48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5CB28C32" w:rsidR="5CB28C32">
        <w:rPr>
          <w:rFonts w:ascii="Calibri" w:hAnsi="Calibri" w:eastAsia="Calibri" w:cs="Calibri"/>
          <w:noProof w:val="0"/>
          <w:sz w:val="24"/>
          <w:szCs w:val="24"/>
          <w:lang w:val="en-CA"/>
        </w:rPr>
        <w:t>Dr. David Litz</w:t>
      </w:r>
    </w:p>
    <w:p xmlns:wp14="http://schemas.microsoft.com/office/word/2010/wordml" w:rsidP="5CB28C32" wp14:paraId="6EB2FEFD" wp14:textId="50021975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5CB28C32" w:rsidR="5CB28C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January 19</w:t>
      </w:r>
      <w:r w:rsidRPr="5CB28C32" w:rsidR="5CB28C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, 2024</w:t>
      </w:r>
    </w:p>
    <w:p xmlns:wp14="http://schemas.microsoft.com/office/word/2010/wordml" w:rsidP="5CB28C32" wp14:paraId="37F21C81" wp14:textId="79C93CE3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xmlns:wp14="http://schemas.microsoft.com/office/word/2010/wordml" w:rsidP="5CB28C32" wp14:paraId="7BDEBAFB" wp14:textId="323974B3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xmlns:wp14="http://schemas.microsoft.com/office/word/2010/wordml" w:rsidP="5CB28C32" wp14:paraId="2DF85750" wp14:textId="513296A3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xmlns:wp14="http://schemas.microsoft.com/office/word/2010/wordml" w:rsidP="5CB28C32" wp14:paraId="5B2DEE3B" wp14:textId="05E14830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xmlns:wp14="http://schemas.microsoft.com/office/word/2010/wordml" w:rsidP="5CB28C32" wp14:paraId="0378BB27" wp14:textId="31A1AE14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xmlns:wp14="http://schemas.microsoft.com/office/word/2010/wordml" w:rsidP="5CB28C32" wp14:paraId="13847B0F" wp14:textId="46A86AA8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xmlns:wp14="http://schemas.microsoft.com/office/word/2010/wordml" w:rsidP="5CB28C32" wp14:paraId="68F443BE" wp14:textId="1865B955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xmlns:wp14="http://schemas.microsoft.com/office/word/2010/wordml" w:rsidP="2368AC8C" wp14:paraId="772CB806" wp14:textId="475387C5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368AC8C" w:rsidR="2368AC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In the article The Heart of a Teacher, Parker Palmer states, “We teach who we are</w:t>
      </w:r>
      <w:r w:rsidRPr="2368AC8C" w:rsidR="2368AC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.” (</w:t>
      </w:r>
      <w:r w:rsidRPr="2368AC8C" w:rsidR="2368AC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Palmer, 2003) I have had an almost 20-year career in the fitness industry teaching fitness to all ages. I have learned skills in motivation, adapting to individual needs, and promoting a supportive environment. As a personal trainer and fitness instructor I have learned effective communication and the ability to guide participants or students towards reaching their goals and potential. Also, I have learned to tailor approaches to different learning styles for workouts, exercises, and fitness levels. </w:t>
      </w:r>
    </w:p>
    <w:p xmlns:wp14="http://schemas.microsoft.com/office/word/2010/wordml" w:rsidP="2368AC8C" wp14:paraId="67E51CA6" wp14:textId="0475E595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368AC8C" w:rsidR="2368AC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Another part of who I am is a single mom. Being a single mom will give me strengths in teaching resilience, ability to switch between tasks, and empathy. I will come with the skills of adaptability, navigating challenges, </w:t>
      </w:r>
      <w:r w:rsidRPr="2368AC8C" w:rsidR="2368AC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demonstrating</w:t>
      </w:r>
      <w:r w:rsidRPr="2368AC8C" w:rsidR="2368AC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perseverance and </w:t>
      </w:r>
      <w:r w:rsidRPr="2368AC8C" w:rsidR="2368AC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compassion,</w:t>
      </w:r>
      <w:r w:rsidRPr="2368AC8C" w:rsidR="2368AC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and understanding. All these skills will be beneficial in a busy and dynamic classroom.</w:t>
      </w:r>
    </w:p>
    <w:p xmlns:wp14="http://schemas.microsoft.com/office/word/2010/wordml" w:rsidP="2368AC8C" wp14:paraId="3322CC36" wp14:textId="0748A55E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 w:firstLine="720"/>
        <w:jc w:val="left"/>
        <w:rPr>
          <w:rFonts w:ascii="Calibri" w:hAnsi="Calibri" w:eastAsia="Calibri" w:cs="Calibri"/>
          <w:noProof w:val="0"/>
          <w:sz w:val="24"/>
          <w:szCs w:val="24"/>
          <w:lang w:val="en-CA"/>
        </w:rPr>
      </w:pPr>
      <w:r w:rsidRPr="2368AC8C" w:rsidR="2368AC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When I think of who I am and the skills I come with into the teaching profession my experiences, perceptions</w:t>
      </w:r>
      <w:r w:rsidRPr="2368AC8C" w:rsidR="2368AC8C">
        <w:rPr>
          <w:rFonts w:ascii="Calibri" w:hAnsi="Calibri" w:eastAsia="Calibri" w:cs="Calibri"/>
          <w:noProof w:val="0"/>
          <w:sz w:val="24"/>
          <w:szCs w:val="24"/>
          <w:lang w:val="en-CA"/>
        </w:rPr>
        <w:t>, and beliefs, that come from being in the fitness industry and being a single mom will guide me well. Finding a metaphor will help convey the ideas by drawing parallels with familiar concepts and make it more relatable and understandable (Brodsky, 2021). It can serve as a communication tool, provide vivid images, foster better comprehension and engagement, and inspire creativity (Drew, 2022) I looked up metaphors for fitness, personal training and being a single mom, and here is what that resonates with me.</w:t>
      </w:r>
    </w:p>
    <w:p xmlns:wp14="http://schemas.microsoft.com/office/word/2010/wordml" w:rsidP="2368AC8C" wp14:paraId="0AA6531F" wp14:textId="28DC16CA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 w:firstLine="720"/>
        <w:jc w:val="left"/>
        <w:rPr>
          <w:rFonts w:ascii="Calibri" w:hAnsi="Calibri" w:eastAsia="Calibri" w:cs="Calibri"/>
          <w:noProof w:val="0"/>
          <w:sz w:val="24"/>
          <w:szCs w:val="24"/>
          <w:lang w:val="en-CA"/>
        </w:rPr>
      </w:pPr>
      <w:r w:rsidRPr="2368AC8C" w:rsidR="2368AC8C">
        <w:rPr>
          <w:rFonts w:ascii="Calibri" w:hAnsi="Calibri" w:eastAsia="Calibri" w:cs="Calibri"/>
          <w:noProof w:val="0"/>
          <w:sz w:val="24"/>
          <w:szCs w:val="24"/>
          <w:lang w:val="en-CA"/>
        </w:rPr>
        <w:t>“Teaching</w:t>
      </w:r>
      <w:r w:rsidRPr="2368AC8C" w:rsidR="2368AC8C">
        <w:rPr>
          <w:rFonts w:ascii="Calibri" w:hAnsi="Calibri" w:eastAsia="Calibri" w:cs="Calibri"/>
          <w:noProof w:val="0"/>
          <w:sz w:val="24"/>
          <w:szCs w:val="24"/>
          <w:lang w:val="en-CA"/>
        </w:rPr>
        <w:t xml:space="preserve"> is like personal training for the mind, building mental muscles and endurance through exercises of comprehension and critical thinking.</w:t>
      </w:r>
      <w:r w:rsidRPr="2368AC8C" w:rsidR="2368AC8C">
        <w:rPr>
          <w:rFonts w:ascii="Calibri" w:hAnsi="Calibri" w:eastAsia="Calibri" w:cs="Calibri"/>
          <w:noProof w:val="0"/>
          <w:sz w:val="24"/>
          <w:szCs w:val="24"/>
          <w:lang w:val="en-CA"/>
        </w:rPr>
        <w:t xml:space="preserve"> Guiding students through mental workouts that strengthen their understanding and flexibility in tracking new concepts.”</w:t>
      </w:r>
    </w:p>
    <w:p xmlns:wp14="http://schemas.microsoft.com/office/word/2010/wordml" w:rsidP="2368AC8C" wp14:paraId="62A4F225" wp14:textId="1E10DF23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 w:firstLine="720"/>
        <w:jc w:val="left"/>
        <w:rPr>
          <w:rFonts w:ascii="Calibri" w:hAnsi="Calibri" w:eastAsia="Calibri" w:cs="Calibri"/>
          <w:noProof w:val="0"/>
          <w:sz w:val="24"/>
          <w:szCs w:val="24"/>
          <w:lang w:val="en-CA"/>
        </w:rPr>
      </w:pPr>
      <w:r w:rsidRPr="2368AC8C" w:rsidR="2368AC8C">
        <w:rPr>
          <w:rFonts w:ascii="Calibri" w:hAnsi="Calibri" w:eastAsia="Calibri" w:cs="Calibri"/>
          <w:noProof w:val="0"/>
          <w:sz w:val="24"/>
          <w:szCs w:val="24"/>
          <w:lang w:val="en-CA"/>
        </w:rPr>
        <w:t>“Learning</w:t>
      </w:r>
      <w:r w:rsidRPr="2368AC8C" w:rsidR="2368AC8C">
        <w:rPr>
          <w:rFonts w:ascii="Calibri" w:hAnsi="Calibri" w:eastAsia="Calibri" w:cs="Calibri"/>
          <w:noProof w:val="0"/>
          <w:sz w:val="24"/>
          <w:szCs w:val="24"/>
          <w:lang w:val="en-CA"/>
        </w:rPr>
        <w:t xml:space="preserve"> is like a workout for the mind, where each new concept is a rep that strengthens the cognitive muscles and were consistency and practice lead to gradual improvement and mastery of skills.”</w:t>
      </w:r>
    </w:p>
    <w:p xmlns:wp14="http://schemas.microsoft.com/office/word/2010/wordml" w:rsidP="5CB28C32" wp14:paraId="0F8B32B1" wp14:textId="12BB1E33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left"/>
        <w:rPr>
          <w:rFonts w:ascii="Calibri" w:hAnsi="Calibri" w:eastAsia="Calibri" w:cs="Calibri"/>
          <w:noProof w:val="0"/>
          <w:sz w:val="24"/>
          <w:szCs w:val="24"/>
          <w:lang w:val="en-CA"/>
        </w:rPr>
      </w:pPr>
      <w:r w:rsidRPr="25FE1624" w:rsidR="25FE1624">
        <w:rPr>
          <w:rFonts w:ascii="Calibri" w:hAnsi="Calibri" w:eastAsia="Calibri" w:cs="Calibri"/>
          <w:noProof w:val="0"/>
          <w:sz w:val="24"/>
          <w:szCs w:val="24"/>
          <w:lang w:val="en-CA"/>
        </w:rPr>
        <w:t>“Teaching</w:t>
      </w:r>
      <w:r w:rsidRPr="25FE1624" w:rsidR="25FE1624">
        <w:rPr>
          <w:rFonts w:ascii="Calibri" w:hAnsi="Calibri" w:eastAsia="Calibri" w:cs="Calibri"/>
          <w:noProof w:val="0"/>
          <w:sz w:val="24"/>
          <w:szCs w:val="24"/>
          <w:lang w:val="en-CA"/>
        </w:rPr>
        <w:t xml:space="preserve"> is like being a single mom, juggling multiple roles and responsibilities, providing support, guidance, and nurturing growth in students despite facing various challenges along the way.”</w:t>
      </w:r>
    </w:p>
    <w:p xmlns:wp14="http://schemas.microsoft.com/office/word/2010/wordml" w:rsidP="2368AC8C" wp14:paraId="7AECFB9E" wp14:textId="14AC2CA8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 w:firstLine="720"/>
        <w:jc w:val="left"/>
        <w:rPr>
          <w:rFonts w:ascii="Calibri" w:hAnsi="Calibri" w:eastAsia="Calibri" w:cs="Calibri"/>
          <w:noProof w:val="0"/>
          <w:sz w:val="24"/>
          <w:szCs w:val="24"/>
          <w:lang w:val="en-CA"/>
        </w:rPr>
      </w:pPr>
      <w:r w:rsidRPr="2368AC8C" w:rsidR="2368AC8C">
        <w:rPr>
          <w:rFonts w:ascii="Calibri" w:hAnsi="Calibri" w:eastAsia="Calibri" w:cs="Calibri"/>
          <w:noProof w:val="0"/>
          <w:sz w:val="24"/>
          <w:szCs w:val="24"/>
          <w:lang w:val="en-CA"/>
        </w:rPr>
        <w:t xml:space="preserve">I think that these examples of metaphors and teaching will show how my philosophy of teaching aligns with embracing individualization, </w:t>
      </w:r>
      <w:r w:rsidRPr="2368AC8C" w:rsidR="2368AC8C">
        <w:rPr>
          <w:rFonts w:ascii="Calibri" w:hAnsi="Calibri" w:eastAsia="Calibri" w:cs="Calibri"/>
          <w:noProof w:val="0"/>
          <w:sz w:val="24"/>
          <w:szCs w:val="24"/>
          <w:lang w:val="en-CA"/>
        </w:rPr>
        <w:t>resilience,</w:t>
      </w:r>
      <w:r w:rsidRPr="2368AC8C" w:rsidR="2368AC8C">
        <w:rPr>
          <w:rFonts w:ascii="Calibri" w:hAnsi="Calibri" w:eastAsia="Calibri" w:cs="Calibri"/>
          <w:noProof w:val="0"/>
          <w:sz w:val="24"/>
          <w:szCs w:val="24"/>
          <w:lang w:val="en-CA"/>
        </w:rPr>
        <w:t xml:space="preserve"> and empathy. I will prioritize the unique needs and strengths of each student, adapting to diverse learning styles and fostering a supportive environment.   </w:t>
      </w:r>
    </w:p>
    <w:p xmlns:wp14="http://schemas.microsoft.com/office/word/2010/wordml" w:rsidP="5CB28C32" wp14:paraId="5D761BD3" wp14:textId="2622AE53">
      <w:pPr>
        <w:pStyle w:val="Normal"/>
        <w:jc w:val="center"/>
        <w:rPr>
          <w:b w:val="1"/>
          <w:bCs w:val="1"/>
        </w:rPr>
      </w:pPr>
    </w:p>
    <w:p xmlns:wp14="http://schemas.microsoft.com/office/word/2010/wordml" w:rsidP="5CB28C32" wp14:paraId="2EAA6E03" wp14:textId="668B4283">
      <w:pPr>
        <w:pStyle w:val="Normal"/>
        <w:jc w:val="center"/>
      </w:pPr>
    </w:p>
    <w:p xmlns:wp14="http://schemas.microsoft.com/office/word/2010/wordml" w:rsidP="5CB28C32" wp14:paraId="08764A47" wp14:textId="1FEB1148">
      <w:pPr>
        <w:pStyle w:val="Normal"/>
        <w:jc w:val="center"/>
      </w:pPr>
    </w:p>
    <w:p xmlns:wp14="http://schemas.microsoft.com/office/word/2010/wordml" w:rsidP="5CB28C32" wp14:paraId="2C078E63" wp14:textId="67B5B89A">
      <w:pPr>
        <w:pStyle w:val="Normal"/>
        <w:jc w:val="center"/>
      </w:pPr>
    </w:p>
    <w:p w:rsidR="2368AC8C" w:rsidP="2368AC8C" w:rsidRDefault="2368AC8C" w14:paraId="2A5AE1E2" w14:textId="658BEF81">
      <w:pPr>
        <w:pStyle w:val="Normal"/>
        <w:jc w:val="center"/>
      </w:pPr>
    </w:p>
    <w:p w:rsidR="2368AC8C" w:rsidP="2368AC8C" w:rsidRDefault="2368AC8C" w14:paraId="702E1D17" w14:textId="43D8CA12">
      <w:pPr>
        <w:pStyle w:val="Normal"/>
        <w:jc w:val="center"/>
      </w:pPr>
    </w:p>
    <w:p w:rsidR="2368AC8C" w:rsidP="2368AC8C" w:rsidRDefault="2368AC8C" w14:paraId="21B4F452" w14:textId="6B41749C">
      <w:pPr>
        <w:pStyle w:val="Normal"/>
        <w:jc w:val="center"/>
      </w:pPr>
    </w:p>
    <w:p w:rsidR="2368AC8C" w:rsidP="2368AC8C" w:rsidRDefault="2368AC8C" w14:paraId="457F0250" w14:textId="6AE34A86">
      <w:pPr>
        <w:pStyle w:val="Normal"/>
        <w:jc w:val="center"/>
      </w:pPr>
    </w:p>
    <w:p w:rsidR="2368AC8C" w:rsidP="2368AC8C" w:rsidRDefault="2368AC8C" w14:paraId="2AF88201" w14:textId="3C612A8B">
      <w:pPr>
        <w:pStyle w:val="Normal"/>
        <w:jc w:val="center"/>
      </w:pPr>
    </w:p>
    <w:p w:rsidR="2368AC8C" w:rsidP="2368AC8C" w:rsidRDefault="2368AC8C" w14:paraId="00B3BACB" w14:textId="099B5925">
      <w:pPr>
        <w:pStyle w:val="Normal"/>
        <w:jc w:val="center"/>
      </w:pPr>
    </w:p>
    <w:p w:rsidR="2368AC8C" w:rsidP="2368AC8C" w:rsidRDefault="2368AC8C" w14:paraId="4F823FE1" w14:textId="20CE84AA">
      <w:pPr>
        <w:pStyle w:val="Normal"/>
        <w:jc w:val="center"/>
      </w:pPr>
    </w:p>
    <w:p w:rsidR="2368AC8C" w:rsidP="2368AC8C" w:rsidRDefault="2368AC8C" w14:paraId="488CEC23" w14:textId="7FEB47CB">
      <w:pPr>
        <w:pStyle w:val="Normal"/>
        <w:jc w:val="center"/>
      </w:pPr>
    </w:p>
    <w:p w:rsidR="2368AC8C" w:rsidP="2368AC8C" w:rsidRDefault="2368AC8C" w14:paraId="3720E557" w14:textId="00302426">
      <w:pPr>
        <w:pStyle w:val="Normal"/>
        <w:jc w:val="center"/>
      </w:pPr>
    </w:p>
    <w:p w:rsidR="2368AC8C" w:rsidP="2368AC8C" w:rsidRDefault="2368AC8C" w14:paraId="44810DEF" w14:textId="1D4A3D5F">
      <w:pPr>
        <w:pStyle w:val="Normal"/>
        <w:jc w:val="center"/>
      </w:pPr>
    </w:p>
    <w:p w:rsidR="2368AC8C" w:rsidP="2368AC8C" w:rsidRDefault="2368AC8C" w14:paraId="5B8B6889" w14:textId="60359A7F">
      <w:pPr>
        <w:pStyle w:val="Normal"/>
        <w:jc w:val="center"/>
      </w:pPr>
    </w:p>
    <w:p w:rsidR="2368AC8C" w:rsidP="2368AC8C" w:rsidRDefault="2368AC8C" w14:paraId="27A60344" w14:textId="731E598D">
      <w:pPr>
        <w:pStyle w:val="Normal"/>
        <w:jc w:val="center"/>
      </w:pPr>
    </w:p>
    <w:p w:rsidR="2368AC8C" w:rsidP="2368AC8C" w:rsidRDefault="2368AC8C" w14:paraId="508935D2" w14:textId="463B3AC3">
      <w:pPr>
        <w:pStyle w:val="Normal"/>
        <w:jc w:val="center"/>
      </w:pPr>
    </w:p>
    <w:p w:rsidR="2368AC8C" w:rsidP="2368AC8C" w:rsidRDefault="2368AC8C" w14:paraId="4F319891" w14:textId="6AA8650B">
      <w:pPr>
        <w:pStyle w:val="Normal"/>
        <w:jc w:val="center"/>
      </w:pPr>
    </w:p>
    <w:p w:rsidR="2368AC8C" w:rsidP="2368AC8C" w:rsidRDefault="2368AC8C" w14:paraId="2E2D167A" w14:textId="34FD3A54">
      <w:pPr>
        <w:pStyle w:val="Normal"/>
        <w:jc w:val="center"/>
      </w:pPr>
    </w:p>
    <w:p w:rsidR="2368AC8C" w:rsidP="2368AC8C" w:rsidRDefault="2368AC8C" w14:paraId="2C763B5F" w14:textId="6AE00772">
      <w:pPr>
        <w:pStyle w:val="Normal"/>
        <w:jc w:val="center"/>
        <w:rPr>
          <w:b w:val="1"/>
          <w:bCs w:val="1"/>
          <w:sz w:val="24"/>
          <w:szCs w:val="24"/>
        </w:rPr>
      </w:pPr>
      <w:r w:rsidRPr="2368AC8C" w:rsidR="2368AC8C">
        <w:rPr>
          <w:b w:val="1"/>
          <w:bCs w:val="1"/>
          <w:sz w:val="24"/>
          <w:szCs w:val="24"/>
        </w:rPr>
        <w:t>References</w:t>
      </w:r>
    </w:p>
    <w:p w:rsidR="2368AC8C" w:rsidP="2368AC8C" w:rsidRDefault="2368AC8C" w14:paraId="3744ABB5" w14:textId="0F1A42C1">
      <w:pPr>
        <w:pStyle w:val="Normal"/>
        <w:jc w:val="center"/>
        <w:rPr>
          <w:b w:val="1"/>
          <w:bCs w:val="1"/>
          <w:sz w:val="24"/>
          <w:szCs w:val="24"/>
        </w:rPr>
      </w:pPr>
    </w:p>
    <w:p w:rsidR="2368AC8C" w:rsidP="2368AC8C" w:rsidRDefault="2368AC8C" w14:paraId="153016A0" w14:textId="3C89BFCF">
      <w:pPr>
        <w:spacing w:before="240" w:beforeAutospacing="off" w:after="240" w:afterAutospacing="off"/>
        <w:ind w:left="567" w:hanging="567"/>
        <w:jc w:val="left"/>
      </w:pPr>
      <w:r w:rsidRPr="2368AC8C" w:rsidR="2368AC8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Brodsky, J. (2021, April 1). </w:t>
      </w:r>
      <w:r w:rsidRPr="2368AC8C" w:rsidR="2368AC8C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>How metaphors shape our ideas about education</w:t>
      </w:r>
      <w:r w:rsidRPr="2368AC8C" w:rsidR="2368AC8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. Forbes. </w:t>
      </w:r>
      <w:hyperlink r:id="Rf3503f0e18764d4c">
        <w:r w:rsidRPr="2368AC8C" w:rsidR="2368AC8C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https://www.forbes.com/sites/juliabrodsky/2021/04/01/how-metaphors-shape-our-ideas-about-education/</w:t>
        </w:r>
      </w:hyperlink>
      <w:r w:rsidRPr="2368AC8C" w:rsidR="2368AC8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w:rsidR="2368AC8C" w:rsidP="2368AC8C" w:rsidRDefault="2368AC8C" w14:paraId="5D7C2355" w14:textId="76E47E83">
      <w:pPr>
        <w:spacing w:before="240" w:beforeAutospacing="off" w:after="240" w:afterAutospacing="off"/>
        <w:ind w:left="567" w:hanging="567"/>
        <w:jc w:val="left"/>
      </w:pPr>
      <w:r w:rsidRPr="2368AC8C" w:rsidR="2368AC8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Chris drew (2022, October 23). </w:t>
      </w:r>
      <w:r w:rsidRPr="2368AC8C" w:rsidR="2368AC8C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>19 metaphors about teachers and teaching that pop!</w:t>
      </w:r>
      <w:r w:rsidRPr="2368AC8C" w:rsidR="2368AC8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Helpful Professor. </w:t>
      </w:r>
      <w:hyperlink r:id="R4e5e64df42f24ea4">
        <w:r w:rsidRPr="2368AC8C" w:rsidR="2368AC8C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https://helpfulprofessor.com/metaphors-about-teachers/</w:t>
        </w:r>
      </w:hyperlink>
      <w:r w:rsidRPr="2368AC8C" w:rsidR="2368AC8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w:rsidR="2368AC8C" w:rsidP="2368AC8C" w:rsidRDefault="2368AC8C" w14:paraId="00DCD0FA" w14:textId="78778A4B">
      <w:pPr>
        <w:spacing w:before="240" w:beforeAutospacing="off" w:after="240" w:afterAutospacing="off"/>
        <w:ind w:left="567" w:hanging="567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368AC8C" w:rsidR="2368AC8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Palmer, P. J. (2003). Teaching with heart and soul. </w:t>
      </w:r>
      <w:r w:rsidRPr="2368AC8C" w:rsidR="2368AC8C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>Journal of Teacher Education</w:t>
      </w:r>
      <w:r w:rsidRPr="2368AC8C" w:rsidR="2368AC8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</w:t>
      </w:r>
      <w:r w:rsidRPr="2368AC8C" w:rsidR="2368AC8C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>54</w:t>
      </w:r>
      <w:r w:rsidRPr="2368AC8C" w:rsidR="2368AC8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(5), 376–385. </w:t>
      </w:r>
      <w:hyperlink r:id="R96f124e48357475d">
        <w:r w:rsidRPr="2368AC8C" w:rsidR="2368AC8C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https://doi.org/10.1177/0022487103257359</w:t>
        </w:r>
      </w:hyperlink>
    </w:p>
    <w:p w:rsidR="2368AC8C" w:rsidP="2368AC8C" w:rsidRDefault="2368AC8C" w14:paraId="737F8982" w14:textId="7D4CD66B">
      <w:pPr>
        <w:pStyle w:val="Normal"/>
        <w:spacing w:before="240" w:beforeAutospacing="off" w:after="240" w:afterAutospacing="off"/>
        <w:ind w:left="567" w:hanging="567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2368AC8C" w:rsidP="2368AC8C" w:rsidRDefault="2368AC8C" w14:paraId="41290B38" w14:textId="330DABCD">
      <w:pPr>
        <w:pStyle w:val="Normal"/>
        <w:jc w:val="left"/>
        <w:rPr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k0z/LevnhTW4lr" int2:id="dDqTncjY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0B017A"/>
    <w:rsid w:val="2368AC8C"/>
    <w:rsid w:val="25FE1624"/>
    <w:rsid w:val="5CB28C32"/>
    <w:rsid w:val="780B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85433"/>
  <w15:chartTrackingRefBased/>
  <w15:docId w15:val="{7FEE6786-CF3C-47DD-91A6-DF781ABD5A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5ec561315bd647c3" /><Relationship Type="http://schemas.openxmlformats.org/officeDocument/2006/relationships/hyperlink" Target="https://www.forbes.com/sites/juliabrodsky/2021/04/01/how-metaphors-shape-our-ideas-about-education/" TargetMode="External" Id="Rf3503f0e18764d4c" /><Relationship Type="http://schemas.openxmlformats.org/officeDocument/2006/relationships/hyperlink" Target="https://helpfulprofessor.com/metaphors-about-teachers/" TargetMode="External" Id="R4e5e64df42f24ea4" /><Relationship Type="http://schemas.openxmlformats.org/officeDocument/2006/relationships/hyperlink" Target="https://doi.org/10.1177/0022487103257359" TargetMode="External" Id="R96f124e4835747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2024-01-17T05:52:53.7607341Z</dcterms:created>
  <dcterms:modified xsi:type="dcterms:W3CDTF">2024-01-18T20:36:40.4865787Z</dcterms:modified>
  <dc:creator>Terri Wilkinson</dc:creator>
  <lastModifiedBy>Terri Wilkinson</lastModifiedBy>
</coreProperties>
</file>